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46" w:firstLineChars="400"/>
        <w:jc w:val="center"/>
        <w:rPr>
          <w:rFonts w:ascii="宋体" w:hAnsi="宋体"/>
          <w:b/>
          <w:sz w:val="36"/>
          <w:szCs w:val="36"/>
        </w:rPr>
      </w:pPr>
      <w:r>
        <w:rPr>
          <w:rFonts w:hint="eastAsia" w:ascii="宋体" w:hAnsi="宋体"/>
          <w:b/>
          <w:sz w:val="36"/>
          <w:szCs w:val="36"/>
        </w:rPr>
        <w:t>长安民生鱼嘴入厂物流项目招聘简章</w:t>
      </w:r>
    </w:p>
    <w:p>
      <w:pPr>
        <w:pStyle w:val="5"/>
        <w:shd w:val="clear" w:color="auto" w:fill="FFFFFF"/>
        <w:spacing w:before="75" w:beforeAutospacing="0" w:after="75" w:afterAutospacing="0" w:line="360" w:lineRule="auto"/>
        <w:ind w:right="75" w:firstLine="0" w:firstLineChars="0"/>
        <w:rPr>
          <w:rFonts w:ascii="Helvetica" w:hAnsi="Helvetica" w:cs="Helvetica"/>
          <w:b/>
          <w:color w:val="333333"/>
        </w:rPr>
      </w:pPr>
      <w:r>
        <w:rPr>
          <w:rFonts w:hint="eastAsia" w:ascii="Helvetica" w:hAnsi="Helvetica" w:cs="Helvetica"/>
          <w:b/>
          <w:color w:val="333333"/>
        </w:rPr>
        <w:t>一、企业简介</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333333"/>
          <w:kern w:val="0"/>
          <w:sz w:val="24"/>
          <w:szCs w:val="24"/>
          <w:lang w:val="en-US" w:eastAsia="zh-CN" w:bidi="ar"/>
        </w:rPr>
        <w:t>重庆长安民生物流股份有限公司（简称长安民生物流）是专业的智慧物流与供应链平台服务商。公司成立于 2001 年 8 月，是国内第一家在香港上市的汽车物流企业（股票代码：HK.01292）</w:t>
      </w:r>
      <w:r>
        <w:rPr>
          <w:rFonts w:hint="eastAsia" w:ascii="宋体" w:hAnsi="宋体" w:cs="宋体"/>
          <w:color w:val="333333"/>
          <w:kern w:val="0"/>
          <w:sz w:val="24"/>
          <w:szCs w:val="24"/>
          <w:lang w:val="en-US" w:eastAsia="zh-CN" w:bidi="ar"/>
        </w:rPr>
        <w:t>，</w:t>
      </w:r>
      <w:r>
        <w:rPr>
          <w:rFonts w:hint="eastAsia" w:ascii="宋体" w:hAnsi="宋体" w:eastAsia="宋体" w:cs="宋体"/>
          <w:color w:val="333333"/>
          <w:kern w:val="0"/>
          <w:sz w:val="24"/>
          <w:szCs w:val="24"/>
          <w:lang w:val="en-US" w:eastAsia="zh-CN" w:bidi="ar"/>
        </w:rPr>
        <w:t>注册资本 1.62 亿元。主要股东为中国长安汽车集团有限公司、民生实业（集团）有限公司</w:t>
      </w:r>
      <w:r>
        <w:rPr>
          <w:rFonts w:hint="eastAsia" w:ascii="宋体" w:hAnsi="宋体" w:cs="宋体"/>
          <w:color w:val="333333"/>
          <w:kern w:val="0"/>
          <w:sz w:val="24"/>
          <w:szCs w:val="24"/>
          <w:lang w:val="en-US" w:eastAsia="zh-CN" w:bidi="ar"/>
        </w:rPr>
        <w:t>、</w:t>
      </w:r>
      <w:r>
        <w:rPr>
          <w:rFonts w:hint="eastAsia" w:ascii="宋体" w:hAnsi="宋体" w:eastAsia="宋体" w:cs="宋体"/>
          <w:color w:val="333333"/>
          <w:kern w:val="0"/>
          <w:sz w:val="24"/>
          <w:szCs w:val="24"/>
          <w:lang w:val="en-US" w:eastAsia="zh-CN" w:bidi="ar"/>
        </w:rPr>
        <w:t xml:space="preserve">美集物流有限公司。经过 20 年发展，已成长为我国汽车物流行业领先、西部地区规模最大的智慧物流平台服务商，获得全国重点中外合资物流企业、国家级外商投资试点物流企业、全国 5A 级综合服务型物流企业、全国先进物流企业、重庆市服务业 50 强企业、重庆市文明单位、重庆五一劳动奖状获得单位，屡获国家级创新成果奖、行业科技进步奖和物流 KPI 标杆奖等殊荣。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333333"/>
          <w:kern w:val="0"/>
          <w:sz w:val="24"/>
          <w:szCs w:val="24"/>
          <w:lang w:val="en-US" w:eastAsia="zh-CN" w:bidi="ar"/>
        </w:rPr>
        <w:t xml:space="preserve">公司主营业务覆盖产业链、供应链全部领域，为用户提供整车物流、零部件物流、备件及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pPr>
      <w:r>
        <w:rPr>
          <w:rFonts w:hint="eastAsia" w:ascii="宋体" w:hAnsi="宋体" w:eastAsia="宋体" w:cs="宋体"/>
          <w:color w:val="333333"/>
          <w:kern w:val="0"/>
          <w:sz w:val="24"/>
          <w:szCs w:val="24"/>
          <w:lang w:val="en-US" w:eastAsia="zh-CN" w:bidi="ar"/>
        </w:rPr>
        <w:t xml:space="preserve">散杂货物流、国际物流、流通加工、采购贸易、供应链金融、共享租赁等服务。与长安、一汽、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pPr>
      <w:r>
        <w:rPr>
          <w:rFonts w:hint="eastAsia" w:ascii="宋体" w:hAnsi="宋体" w:eastAsia="宋体" w:cs="宋体"/>
          <w:color w:val="333333"/>
          <w:kern w:val="0"/>
          <w:sz w:val="24"/>
          <w:szCs w:val="24"/>
          <w:lang w:val="en-US" w:eastAsia="zh-CN" w:bidi="ar"/>
        </w:rPr>
        <w:t xml:space="preserve">东风、长城、吉利、威马、拜腾、郑州日产、中进汽贸、宝钢、沙伯基础、舍弗勒、博世、伟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pPr>
      <w:r>
        <w:rPr>
          <w:rFonts w:hint="eastAsia" w:ascii="宋体" w:hAnsi="宋体" w:eastAsia="宋体" w:cs="宋体"/>
          <w:color w:val="333333"/>
          <w:kern w:val="0"/>
          <w:sz w:val="24"/>
          <w:szCs w:val="24"/>
          <w:lang w:val="en-US" w:eastAsia="zh-CN" w:bidi="ar"/>
        </w:rPr>
        <w:t xml:space="preserve">巴斯特、米其林、固特异、双汇、恒都牛肉等国内外近千家汽车制造商、原材料供应商及零部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pPr>
      <w:r>
        <w:rPr>
          <w:rFonts w:hint="eastAsia" w:ascii="宋体" w:hAnsi="宋体" w:eastAsia="宋体" w:cs="宋体"/>
          <w:color w:val="333333"/>
          <w:kern w:val="0"/>
          <w:sz w:val="24"/>
          <w:szCs w:val="24"/>
          <w:lang w:val="en-US" w:eastAsia="zh-CN" w:bidi="ar"/>
        </w:rPr>
        <w:t xml:space="preserve">件供应商等建立了长期合作关系，具备强大的物流综合服务能力，致力于为客户提供全方位供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应链一体化物流服务</w:t>
      </w:r>
      <w:r>
        <w:rPr>
          <w:rFonts w:hint="eastAsia" w:ascii="宋体" w:hAnsi="宋体" w:cs="宋体"/>
          <w:color w:val="333333"/>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Helvetica" w:hAnsi="Helvetica" w:cs="Helvetica"/>
          <w:color w:val="333333"/>
          <w:kern w:val="0"/>
          <w:sz w:val="24"/>
        </w:rPr>
      </w:pPr>
      <w:r>
        <w:rPr>
          <w:rFonts w:hint="eastAsia" w:ascii="宋体" w:hAnsi="宋体" w:eastAsia="宋体" w:cs="宋体"/>
          <w:color w:val="333333"/>
          <w:kern w:val="0"/>
          <w:sz w:val="24"/>
          <w:szCs w:val="24"/>
          <w:lang w:val="en-US" w:eastAsia="zh-CN" w:bidi="ar"/>
        </w:rPr>
        <w:t>长安民生物流承载着“创新物流服务，创造美好生活”的企业使命，努力成为放心托付</w:t>
      </w:r>
      <w:r>
        <w:rPr>
          <w:rFonts w:hint="eastAsia" w:ascii="宋体" w:hAnsi="宋体" w:cs="宋体"/>
          <w:color w:val="333333"/>
          <w:kern w:val="0"/>
          <w:sz w:val="24"/>
          <w:szCs w:val="24"/>
          <w:lang w:val="en-US" w:eastAsia="zh-CN" w:bidi="ar"/>
        </w:rPr>
        <w:t>、</w:t>
      </w:r>
      <w:r>
        <w:rPr>
          <w:rFonts w:hint="eastAsia" w:ascii="宋体" w:hAnsi="宋体" w:eastAsia="宋体" w:cs="宋体"/>
          <w:color w:val="333333"/>
          <w:kern w:val="0"/>
          <w:sz w:val="24"/>
          <w:szCs w:val="24"/>
          <w:lang w:val="en-US" w:eastAsia="zh-CN" w:bidi="ar"/>
        </w:rPr>
        <w:t>备受信赖的一流智慧物流平台服务商，凭借专业、高效的物流运营管理体系和能力，为客户提供“省钱、省时、省心、增值”的一体化物流解决方案，为员工提供多元化职业发展机会，建立激发潜能和创造力的培训平台，实现企业与客户、员工、合作伙伴的共赢！</w:t>
      </w:r>
    </w:p>
    <w:p>
      <w:pPr>
        <w:spacing w:line="360" w:lineRule="auto"/>
        <w:ind w:firstLine="557" w:firstLineChars="232"/>
        <w:rPr>
          <w:rFonts w:ascii="微软雅黑" w:hAnsi="微软雅黑" w:eastAsia="微软雅黑"/>
          <w:b/>
          <w:sz w:val="24"/>
        </w:rPr>
      </w:pPr>
      <w:r>
        <w:rPr>
          <w:rFonts w:ascii="微软雅黑" w:hAnsi="微软雅黑" w:eastAsia="微软雅黑"/>
          <w:b/>
          <w:sz w:val="24"/>
        </w:rPr>
        <w:drawing>
          <wp:inline distT="0" distB="0" distL="0" distR="0">
            <wp:extent cx="2509520" cy="1673225"/>
            <wp:effectExtent l="19050" t="0" r="4459" b="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9" cstate="print"/>
                    <a:srcRect/>
                    <a:stretch>
                      <a:fillRect/>
                    </a:stretch>
                  </pic:blipFill>
                  <pic:spPr>
                    <a:xfrm>
                      <a:off x="0" y="0"/>
                      <a:ext cx="2509520" cy="1673225"/>
                    </a:xfrm>
                    <a:prstGeom prst="rect">
                      <a:avLst/>
                    </a:prstGeom>
                    <a:ln>
                      <a:noFill/>
                    </a:ln>
                  </pic:spPr>
                </pic:pic>
              </a:graphicData>
            </a:graphic>
          </wp:inline>
        </w:drawing>
      </w:r>
      <w:r>
        <w:rPr>
          <w:rFonts w:ascii="微软雅黑" w:hAnsi="微软雅黑" w:eastAsia="微软雅黑"/>
          <w:b/>
          <w:sz w:val="24"/>
        </w:rPr>
        <w:drawing>
          <wp:inline distT="0" distB="0" distL="0" distR="0">
            <wp:extent cx="2508885" cy="1672590"/>
            <wp:effectExtent l="19050" t="0" r="5400" b="0"/>
            <wp:docPr id="1027" name="图片 4"/>
            <wp:cNvGraphicFramePr/>
            <a:graphic xmlns:a="http://schemas.openxmlformats.org/drawingml/2006/main">
              <a:graphicData uri="http://schemas.openxmlformats.org/drawingml/2006/picture">
                <pic:pic xmlns:pic="http://schemas.openxmlformats.org/drawingml/2006/picture">
                  <pic:nvPicPr>
                    <pic:cNvPr id="1027" name="图片 4"/>
                    <pic:cNvPicPr/>
                  </pic:nvPicPr>
                  <pic:blipFill>
                    <a:blip r:embed="rId10" cstate="print"/>
                    <a:srcRect/>
                    <a:stretch>
                      <a:fillRect/>
                    </a:stretch>
                  </pic:blipFill>
                  <pic:spPr>
                    <a:xfrm>
                      <a:off x="0" y="0"/>
                      <a:ext cx="2508885" cy="1672590"/>
                    </a:xfrm>
                    <a:prstGeom prst="rect">
                      <a:avLst/>
                    </a:prstGeom>
                    <a:ln>
                      <a:noFill/>
                    </a:ln>
                  </pic:spPr>
                </pic:pic>
              </a:graphicData>
            </a:graphic>
          </wp:inline>
        </w:drawing>
      </w:r>
    </w:p>
    <w:p>
      <w:pPr>
        <w:spacing w:line="360" w:lineRule="auto"/>
        <w:ind w:firstLine="514" w:firstLineChars="245"/>
        <w:rPr>
          <w:rFonts w:ascii="微软雅黑" w:hAnsi="微软雅黑" w:eastAsia="微软雅黑"/>
          <w:b/>
          <w:sz w:val="24"/>
        </w:rPr>
      </w:pPr>
      <w:r>
        <w:rPr>
          <w:rFonts w:ascii="Helvetica" w:hAnsi="Helvetica" w:cs="Helvetica"/>
          <w:color w:val="337AB7"/>
          <w:szCs w:val="21"/>
        </w:rPr>
        <w:drawing>
          <wp:inline distT="0" distB="0" distL="0" distR="0">
            <wp:extent cx="2507615" cy="1673860"/>
            <wp:effectExtent l="19050" t="0" r="6731" b="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11" cstate="print"/>
                    <a:srcRect/>
                    <a:stretch>
                      <a:fillRect/>
                    </a:stretch>
                  </pic:blipFill>
                  <pic:spPr>
                    <a:xfrm>
                      <a:off x="0" y="0"/>
                      <a:ext cx="2507615" cy="1673860"/>
                    </a:xfrm>
                    <a:prstGeom prst="rect">
                      <a:avLst/>
                    </a:prstGeom>
                    <a:ln>
                      <a:noFill/>
                    </a:ln>
                  </pic:spPr>
                </pic:pic>
              </a:graphicData>
            </a:graphic>
          </wp:inline>
        </w:drawing>
      </w:r>
      <w:r>
        <w:rPr>
          <w:rFonts w:ascii="Helvetica" w:hAnsi="Helvetica" w:cs="Helvetica"/>
          <w:color w:val="337AB7"/>
          <w:szCs w:val="21"/>
        </w:rPr>
        <w:drawing>
          <wp:inline distT="0" distB="0" distL="0" distR="0">
            <wp:extent cx="2507615" cy="1673860"/>
            <wp:effectExtent l="19050" t="0" r="6731" b="0"/>
            <wp:docPr id="1029" name="图片 4"/>
            <wp:cNvGraphicFramePr/>
            <a:graphic xmlns:a="http://schemas.openxmlformats.org/drawingml/2006/main">
              <a:graphicData uri="http://schemas.openxmlformats.org/drawingml/2006/picture">
                <pic:pic xmlns:pic="http://schemas.openxmlformats.org/drawingml/2006/picture">
                  <pic:nvPicPr>
                    <pic:cNvPr id="1029" name="图片 4"/>
                    <pic:cNvPicPr/>
                  </pic:nvPicPr>
                  <pic:blipFill>
                    <a:blip r:embed="rId12" cstate="print"/>
                    <a:srcRect/>
                    <a:stretch>
                      <a:fillRect/>
                    </a:stretch>
                  </pic:blipFill>
                  <pic:spPr>
                    <a:xfrm>
                      <a:off x="0" y="0"/>
                      <a:ext cx="2507615" cy="1673860"/>
                    </a:xfrm>
                    <a:prstGeom prst="rect">
                      <a:avLst/>
                    </a:prstGeom>
                    <a:ln>
                      <a:noFill/>
                    </a:ln>
                  </pic:spPr>
                </pic:pic>
              </a:graphicData>
            </a:graphic>
          </wp:inline>
        </w:drawing>
      </w:r>
    </w:p>
    <w:p>
      <w:pPr>
        <w:spacing w:line="360" w:lineRule="auto"/>
        <w:ind w:firstLine="0" w:firstLineChars="0"/>
        <w:rPr>
          <w:rFonts w:ascii="Helvetica" w:hAnsi="Helvetica" w:cs="Helvetica"/>
          <w:b/>
          <w:color w:val="333333"/>
          <w:sz w:val="24"/>
        </w:rPr>
      </w:pPr>
    </w:p>
    <w:p>
      <w:pPr>
        <w:spacing w:line="360" w:lineRule="auto"/>
        <w:ind w:firstLine="0" w:firstLineChars="0"/>
        <w:rPr>
          <w:rFonts w:ascii="Helvetica" w:hAnsi="Helvetica" w:cs="Helvetica"/>
          <w:b/>
          <w:color w:val="333333"/>
          <w:sz w:val="24"/>
        </w:rPr>
      </w:pPr>
    </w:p>
    <w:p>
      <w:pPr>
        <w:numPr>
          <w:ilvl w:val="0"/>
          <w:numId w:val="1"/>
        </w:numPr>
        <w:spacing w:line="360" w:lineRule="auto"/>
        <w:ind w:firstLine="0" w:firstLineChars="0"/>
        <w:rPr>
          <w:rFonts w:ascii="Helvetica" w:hAnsi="Helvetica" w:cs="Helvetica"/>
          <w:b/>
          <w:color w:val="333333"/>
          <w:sz w:val="24"/>
        </w:rPr>
      </w:pPr>
      <w:r>
        <w:rPr>
          <w:rFonts w:hint="eastAsia" w:ascii="Helvetica" w:hAnsi="Helvetica" w:cs="Helvetica"/>
          <w:b/>
          <w:color w:val="333333"/>
          <w:sz w:val="24"/>
        </w:rPr>
        <w:t>项目简介</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长安民生鱼嘴入厂物流项目属于重庆长安民生物流股份有限公司零部件事业部在渝项目，是公司在渝最大的汽车零部件入厂物流活动基地。其核心业务是为以长安汽车为主的汽车制造企业按照采购订单不断组织供应商零部件以不同的物流服务方式进入制造企业工厂制定物流服务中心及生产车间。</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项目成立于2018年6月21日，由原欧尚及发动机入厂物流项目和长安轿车入厂物流项目的鱼嘴轿车RDC、鱼嘴中储合并组建而成。</w:t>
      </w:r>
    </w:p>
    <w:p>
      <w:pPr>
        <w:pStyle w:val="5"/>
        <w:shd w:val="clear" w:color="auto" w:fill="FFFFFF"/>
        <w:spacing w:before="0" w:beforeAutospacing="0" w:after="0" w:afterAutospacing="0" w:line="360" w:lineRule="auto"/>
        <w:ind w:right="74" w:firstLine="480"/>
        <w:rPr>
          <w:rFonts w:ascii="Helvetica" w:hAnsi="Helvetica" w:cs="Helvetica"/>
          <w:color w:val="333333"/>
        </w:rPr>
      </w:pPr>
      <w:r>
        <w:rPr>
          <w:rFonts w:hint="eastAsia" w:ascii="Helvetica" w:hAnsi="Helvetica" w:cs="Helvetica"/>
          <w:color w:val="333333"/>
        </w:rPr>
        <w:t>目前项目主要服务主机厂有长安汽车（欧尚事业部本部、江北发动机工厂、渝北工厂鱼嘴基地）；主要服务零部件供应商主要是舍弗勒、联合电子、重庆青山、四川建安等。总计服务对象（主机厂）：供应商435家，零件品种7894个，市内供应商19家，零件品种374个，开设20多条运输线路。</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目前项目服务能力：整车产能54.3万台/年（暂不含欧尚二期），发动机产能80万台/年。</w:t>
      </w:r>
    </w:p>
    <w:p>
      <w:pPr>
        <w:pStyle w:val="5"/>
        <w:shd w:val="clear" w:color="auto" w:fill="FFFFFF"/>
        <w:spacing w:before="0" w:beforeAutospacing="0" w:after="0" w:afterAutospacing="0" w:line="360" w:lineRule="auto"/>
        <w:ind w:right="74" w:firstLine="0" w:firstLineChars="0"/>
        <w:rPr>
          <w:rFonts w:ascii="Helvetica" w:hAnsi="Helvetica" w:cs="Helvetica"/>
          <w:color w:val="333333"/>
        </w:rPr>
      </w:pPr>
      <w:r>
        <mc:AlternateContent>
          <mc:Choice Requires="wps">
            <w:drawing>
              <wp:anchor distT="0" distB="0" distL="114300" distR="114300" simplePos="0" relativeHeight="251659264" behindDoc="0" locked="0" layoutInCell="1" allowOverlap="1">
                <wp:simplePos x="0" y="0"/>
                <wp:positionH relativeFrom="column">
                  <wp:posOffset>4106545</wp:posOffset>
                </wp:positionH>
                <wp:positionV relativeFrom="paragraph">
                  <wp:posOffset>296545</wp:posOffset>
                </wp:positionV>
                <wp:extent cx="546735" cy="245745"/>
                <wp:effectExtent l="0" t="0" r="0" b="0"/>
                <wp:wrapNone/>
                <wp:docPr id="2" name="1030"/>
                <wp:cNvGraphicFramePr/>
                <a:graphic xmlns:a="http://schemas.openxmlformats.org/drawingml/2006/main">
                  <a:graphicData uri="http://schemas.microsoft.com/office/word/2010/wordprocessingShape">
                    <wps:wsp>
                      <wps:cNvSpPr/>
                      <wps:spPr>
                        <a:xfrm>
                          <a:off x="0" y="0"/>
                          <a:ext cx="546735" cy="245745"/>
                        </a:xfrm>
                        <a:prstGeom prst="rect">
                          <a:avLst/>
                        </a:prstGeom>
                        <a:noFill/>
                        <a:ln>
                          <a:noFill/>
                        </a:ln>
                      </wps:spPr>
                      <wps:txbx>
                        <w:txbxContent>
                          <w:p>
                            <w:pPr>
                              <w:pStyle w:val="5"/>
                              <w:ind w:firstLine="400"/>
                            </w:pPr>
                            <w:r>
                              <w:rPr>
                                <w:rFonts w:ascii="微软雅黑" w:eastAsia="微软雅黑"/>
                                <w:b/>
                                <w:color w:val="FFFF00"/>
                                <w:kern w:val="24"/>
                                <w:sz w:val="20"/>
                                <w:szCs w:val="20"/>
                              </w:rPr>
                              <w:t>H系列</w:t>
                            </w:r>
                          </w:p>
                        </w:txbxContent>
                      </wps:txbx>
                      <wps:bodyPr wrap="none" upright="1">
                        <a:spAutoFit/>
                      </wps:bodyPr>
                    </wps:wsp>
                  </a:graphicData>
                </a:graphic>
              </wp:anchor>
            </w:drawing>
          </mc:Choice>
          <mc:Fallback>
            <w:pict>
              <v:rect id="1030" o:spid="_x0000_s1026" o:spt="1" style="position:absolute;left:0pt;margin-left:323.35pt;margin-top:23.35pt;height:19.35pt;width:43.05pt;mso-wrap-style:none;z-index:251659264;mso-width-relative:page;mso-height-relative:page;" filled="f" stroked="f" coordsize="21600,21600" o:gfxdata="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gM0V61wAAAAkBAAAPAAAAAAAAAAEAIAAAACIAAABkcnMvZG93bnJl&#10;di54bWxQSwECFAAUAAAACACHTuJACqfDNYwBAAAUAwAADgAAAAAAAAABACAAAAAmAQAAZHJzL2Uy&#10;b0RvYy54bWxQSwUGAAAAAAYABgBZAQAAJAUAAAAA&#10;">
                <v:fill on="f" focussize="0,0"/>
                <v:stroke on="f"/>
                <v:imagedata o:title=""/>
                <o:lock v:ext="edit" aspectratio="f"/>
                <v:textbox style="mso-fit-shape-to-text:t;">
                  <w:txbxContent>
                    <w:p>
                      <w:pPr>
                        <w:pStyle w:val="5"/>
                        <w:ind w:firstLine="400"/>
                      </w:pPr>
                      <w:r>
                        <w:rPr>
                          <w:rFonts w:ascii="微软雅黑" w:eastAsia="微软雅黑"/>
                          <w:b/>
                          <w:color w:val="FFFF00"/>
                          <w:kern w:val="24"/>
                          <w:sz w:val="20"/>
                          <w:szCs w:val="20"/>
                        </w:rPr>
                        <w:t>H系列</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2084705</wp:posOffset>
                </wp:positionH>
                <wp:positionV relativeFrom="paragraph">
                  <wp:posOffset>286385</wp:posOffset>
                </wp:positionV>
                <wp:extent cx="527685" cy="245745"/>
                <wp:effectExtent l="0" t="0" r="0" b="0"/>
                <wp:wrapNone/>
                <wp:docPr id="3" name="1031"/>
                <wp:cNvGraphicFramePr/>
                <a:graphic xmlns:a="http://schemas.openxmlformats.org/drawingml/2006/main">
                  <a:graphicData uri="http://schemas.microsoft.com/office/word/2010/wordprocessingShape">
                    <wps:wsp>
                      <wps:cNvSpPr/>
                      <wps:spPr>
                        <a:xfrm>
                          <a:off x="0" y="0"/>
                          <a:ext cx="527685" cy="245745"/>
                        </a:xfrm>
                        <a:prstGeom prst="rect">
                          <a:avLst/>
                        </a:prstGeom>
                        <a:noFill/>
                        <a:ln>
                          <a:noFill/>
                        </a:ln>
                      </wps:spPr>
                      <wps:txbx>
                        <w:txbxContent>
                          <w:p>
                            <w:pPr>
                              <w:pStyle w:val="5"/>
                              <w:ind w:firstLine="400"/>
                            </w:pPr>
                            <w:r>
                              <w:rPr>
                                <w:rFonts w:ascii="微软雅黑" w:eastAsia="微软雅黑"/>
                                <w:b/>
                                <w:color w:val="FFFF00"/>
                                <w:kern w:val="24"/>
                                <w:sz w:val="20"/>
                                <w:szCs w:val="20"/>
                              </w:rPr>
                              <w:t>X70A</w:t>
                            </w:r>
                          </w:p>
                        </w:txbxContent>
                      </wps:txbx>
                      <wps:bodyPr wrap="none" upright="1">
                        <a:spAutoFit/>
                      </wps:bodyPr>
                    </wps:wsp>
                  </a:graphicData>
                </a:graphic>
              </wp:anchor>
            </w:drawing>
          </mc:Choice>
          <mc:Fallback>
            <w:pict>
              <v:rect id="1031" o:spid="_x0000_s1026" o:spt="1" style="position:absolute;left:0pt;margin-left:164.15pt;margin-top:22.55pt;height:19.35pt;width:41.55pt;mso-wrap-style:none;z-index:251659264;mso-width-relative:page;mso-height-relative:page;" filled="f" stroked="f" coordsize="21600,21600" o:gfxdata="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hpRanXAAAACQEAAA8AAAAAAAAAAQAgAAAAIgAAAGRycy9kb3du&#10;cmV2LnhtbFBLAQIUABQAAAAIAIdO4kDz7dIdjgEAABQDAAAOAAAAAAAAAAEAIAAAACYBAABkcnMv&#10;ZTJvRG9jLnhtbFBLBQYAAAAABgAGAFkBAAAmBQAAAAAA&#10;">
                <v:fill on="f" focussize="0,0"/>
                <v:stroke on="f"/>
                <v:imagedata o:title=""/>
                <o:lock v:ext="edit" aspectratio="f"/>
                <v:textbox style="mso-fit-shape-to-text:t;">
                  <w:txbxContent>
                    <w:p>
                      <w:pPr>
                        <w:pStyle w:val="5"/>
                        <w:ind w:firstLine="400"/>
                      </w:pPr>
                      <w:r>
                        <w:rPr>
                          <w:rFonts w:ascii="微软雅黑" w:eastAsia="微软雅黑"/>
                          <w:b/>
                          <w:color w:val="FFFF00"/>
                          <w:kern w:val="24"/>
                          <w:sz w:val="20"/>
                          <w:szCs w:val="20"/>
                        </w:rPr>
                        <w:t>X70A</w:t>
                      </w:r>
                    </w:p>
                  </w:txbxContent>
                </v:textbox>
              </v:rect>
            </w:pict>
          </mc:Fallback>
        </mc:AlternateContent>
      </w:r>
      <w:r>
        <w:rPr>
          <w:rFonts w:hint="eastAsia" w:ascii="Helvetica" w:hAnsi="Helvetica" w:cs="Helvetica"/>
          <w:color w:val="333333"/>
        </w:rPr>
        <w:t>服务对象（远程供应商）：供应商99家(自营库)，零件品种3665个。</w:t>
      </w:r>
    </w:p>
    <w:p>
      <w:pPr>
        <w:pStyle w:val="5"/>
        <w:shd w:val="clear" w:color="auto" w:fill="FFFFFF"/>
        <w:spacing w:before="0" w:beforeAutospacing="0" w:after="0" w:afterAutospacing="0" w:line="360" w:lineRule="auto"/>
        <w:ind w:right="74" w:firstLine="0" w:firstLineChars="0"/>
        <w:rPr>
          <w:rFonts w:ascii="Helvetica" w:hAnsi="Helvetica" w:cs="Helvetica"/>
          <w:color w:val="333333"/>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4045" cy="245745"/>
                <wp:effectExtent l="0" t="0" r="0" b="0"/>
                <wp:wrapNone/>
                <wp:docPr id="4" name="1032"/>
                <wp:cNvGraphicFramePr/>
                <a:graphic xmlns:a="http://schemas.openxmlformats.org/drawingml/2006/main">
                  <a:graphicData uri="http://schemas.microsoft.com/office/word/2010/wordprocessingShape">
                    <wps:wsp>
                      <wps:cNvSpPr/>
                      <wps:spPr>
                        <a:xfrm>
                          <a:off x="0" y="0"/>
                          <a:ext cx="614045" cy="245745"/>
                        </a:xfrm>
                        <a:prstGeom prst="rect">
                          <a:avLst/>
                        </a:prstGeom>
                        <a:noFill/>
                        <a:ln>
                          <a:noFill/>
                        </a:ln>
                      </wps:spPr>
                      <wps:txbx>
                        <w:txbxContent>
                          <w:p>
                            <w:pPr>
                              <w:pStyle w:val="5"/>
                              <w:ind w:firstLine="400"/>
                            </w:pPr>
                            <w:r>
                              <w:rPr>
                                <w:rFonts w:ascii="微软雅黑" w:eastAsia="微软雅黑"/>
                                <w:b/>
                                <w:color w:val="FFFF00"/>
                                <w:kern w:val="24"/>
                                <w:sz w:val="20"/>
                                <w:szCs w:val="20"/>
                              </w:rPr>
                              <w:t>睿骋CC</w:t>
                            </w:r>
                          </w:p>
                        </w:txbxContent>
                      </wps:txbx>
                      <wps:bodyPr wrap="none" upright="1">
                        <a:spAutoFit/>
                      </wps:bodyPr>
                    </wps:wsp>
                  </a:graphicData>
                </a:graphic>
              </wp:anchor>
            </w:drawing>
          </mc:Choice>
          <mc:Fallback>
            <w:pict>
              <v:rect id="1032" o:spid="_x0000_s1026" o:spt="1" style="position:absolute;left:0pt;margin-left:0pt;margin-top:0pt;height:19.35pt;width:48.35pt;mso-wrap-style:none;z-index:251659264;mso-width-relative:page;mso-height-relative:page;" filled="f" stroked="f" coordsize="21600,21600" o:gfxdata="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YbzY9QAAAADAQAADwAAAAAAAAABACAAAAAiAAAAZHJzL2Rvd25yZXYu&#10;eG1sUEsBAhQAFAAAAAgAh07iQHekPH2NAQAAFAMAAA4AAAAAAAAAAQAgAAAAIwEAAGRycy9lMm9E&#10;b2MueG1sUEsFBgAAAAAGAAYAWQEAACIFAAAAAAAA&#10;">
                <v:fill on="f" focussize="0,0"/>
                <v:stroke on="f"/>
                <v:imagedata o:title=""/>
                <o:lock v:ext="edit" aspectratio="f"/>
                <v:textbox style="mso-fit-shape-to-text:t;">
                  <w:txbxContent>
                    <w:p>
                      <w:pPr>
                        <w:pStyle w:val="5"/>
                        <w:ind w:firstLine="400"/>
                      </w:pPr>
                      <w:r>
                        <w:rPr>
                          <w:rFonts w:ascii="微软雅黑" w:eastAsia="微软雅黑"/>
                          <w:b/>
                          <w:color w:val="FFFF00"/>
                          <w:kern w:val="24"/>
                          <w:sz w:val="20"/>
                          <w:szCs w:val="20"/>
                        </w:rPr>
                        <w:t>睿骋CC</w:t>
                      </w:r>
                    </w:p>
                  </w:txbxContent>
                </v:textbox>
              </v:rect>
            </w:pict>
          </mc:Fallback>
        </mc:AlternateContent>
      </w:r>
      <w:r>
        <w:drawing>
          <wp:inline distT="0" distB="0" distL="0" distR="0">
            <wp:extent cx="2047240" cy="1151890"/>
            <wp:effectExtent l="0" t="0" r="10160" b="6350"/>
            <wp:docPr id="1033" name="图片 3"/>
            <wp:cNvGraphicFramePr/>
            <a:graphic xmlns:a="http://schemas.openxmlformats.org/drawingml/2006/main">
              <a:graphicData uri="http://schemas.openxmlformats.org/drawingml/2006/picture">
                <pic:pic xmlns:pic="http://schemas.openxmlformats.org/drawingml/2006/picture">
                  <pic:nvPicPr>
                    <pic:cNvPr id="1033" name="图片 3"/>
                    <pic:cNvPicPr/>
                  </pic:nvPicPr>
                  <pic:blipFill>
                    <a:blip r:embed="rId13" cstate="print"/>
                    <a:srcRect l="35196" t="-321" r="-10" b="321"/>
                    <a:stretch>
                      <a:fillRect/>
                    </a:stretch>
                  </pic:blipFill>
                  <pic:spPr>
                    <a:xfrm>
                      <a:off x="0" y="0"/>
                      <a:ext cx="2047874" cy="1151890"/>
                    </a:xfrm>
                    <a:prstGeom prst="rect">
                      <a:avLst/>
                    </a:prstGeom>
                    <a:ln>
                      <a:noFill/>
                    </a:ln>
                    <a:effectLst>
                      <a:softEdge rad="101600"/>
                    </a:effectLst>
                  </pic:spPr>
                </pic:pic>
              </a:graphicData>
            </a:graphic>
          </wp:inline>
        </w:drawing>
      </w:r>
      <w:r>
        <w:drawing>
          <wp:inline distT="0" distB="0" distL="0" distR="0">
            <wp:extent cx="2047240" cy="1151890"/>
            <wp:effectExtent l="0" t="0" r="9525" b="10160"/>
            <wp:docPr id="1034" name="图片 15"/>
            <wp:cNvGraphicFramePr/>
            <a:graphic xmlns:a="http://schemas.openxmlformats.org/drawingml/2006/main">
              <a:graphicData uri="http://schemas.openxmlformats.org/drawingml/2006/picture">
                <pic:pic xmlns:pic="http://schemas.openxmlformats.org/drawingml/2006/picture">
                  <pic:nvPicPr>
                    <pic:cNvPr id="1034" name="图片 15"/>
                    <pic:cNvPicPr/>
                  </pic:nvPicPr>
                  <pic:blipFill>
                    <a:blip r:embed="rId14" cstate="print"/>
                    <a:srcRect l="6584" r="6584"/>
                    <a:stretch>
                      <a:fillRect/>
                    </a:stretch>
                  </pic:blipFill>
                  <pic:spPr>
                    <a:xfrm>
                      <a:off x="0" y="0"/>
                      <a:ext cx="2047874" cy="1151890"/>
                    </a:xfrm>
                    <a:prstGeom prst="rect">
                      <a:avLst/>
                    </a:prstGeom>
                    <a:ln>
                      <a:noFill/>
                    </a:ln>
                    <a:effectLst>
                      <a:softEdge rad="101600"/>
                    </a:effectLst>
                  </pic:spPr>
                </pic:pic>
              </a:graphicData>
            </a:graphic>
          </wp:inline>
        </w:drawing>
      </w:r>
      <w:r>
        <w:drawing>
          <wp:inline distT="0" distB="0" distL="0" distR="0">
            <wp:extent cx="2047240" cy="1151890"/>
            <wp:effectExtent l="0" t="0" r="9525" b="10160"/>
            <wp:docPr id="1035" name="图片 19"/>
            <wp:cNvGraphicFramePr/>
            <a:graphic xmlns:a="http://schemas.openxmlformats.org/drawingml/2006/main">
              <a:graphicData uri="http://schemas.openxmlformats.org/drawingml/2006/picture">
                <pic:pic xmlns:pic="http://schemas.openxmlformats.org/drawingml/2006/picture">
                  <pic:nvPicPr>
                    <pic:cNvPr id="1035" name="图片 19"/>
                    <pic:cNvPicPr/>
                  </pic:nvPicPr>
                  <pic:blipFill>
                    <a:blip r:embed="rId15" cstate="print"/>
                    <a:srcRect l="38550" t="12201" r="18051" b="29211"/>
                    <a:stretch>
                      <a:fillRect/>
                    </a:stretch>
                  </pic:blipFill>
                  <pic:spPr>
                    <a:xfrm>
                      <a:off x="0" y="0"/>
                      <a:ext cx="2047874" cy="1151890"/>
                    </a:xfrm>
                    <a:prstGeom prst="rect">
                      <a:avLst/>
                    </a:prstGeom>
                    <a:ln>
                      <a:noFill/>
                    </a:ln>
                    <a:effectLst>
                      <a:softEdge rad="101600"/>
                    </a:effectLst>
                  </pic:spPr>
                </pic:pic>
              </a:graphicData>
            </a:graphic>
          </wp:inline>
        </w:drawing>
      </w:r>
    </w:p>
    <w:p>
      <w:pPr>
        <w:pStyle w:val="5"/>
        <w:shd w:val="clear" w:color="auto" w:fill="FFFFFF"/>
        <w:spacing w:before="75" w:after="75" w:line="360" w:lineRule="auto"/>
        <w:ind w:right="75" w:firstLine="0" w:firstLineChars="0"/>
        <w:rPr>
          <w:rFonts w:ascii="Helvetica" w:hAnsi="Helvetica" w:cs="Helvetica"/>
          <w:b/>
          <w:color w:val="333333"/>
        </w:rPr>
      </w:pPr>
      <w:r>
        <w:rPr>
          <w:rFonts w:hint="eastAsia" w:ascii="Helvetica" w:hAnsi="Helvetica" w:cs="Helvetica"/>
          <w:b/>
          <w:color w:val="333333"/>
          <w:lang w:eastAsia="zh-CN"/>
        </w:rPr>
        <w:t>三</w:t>
      </w:r>
      <w:r>
        <w:rPr>
          <w:rFonts w:hint="eastAsia" w:ascii="Helvetica" w:hAnsi="Helvetica" w:cs="Helvetica"/>
          <w:b/>
          <w:color w:val="333333"/>
        </w:rPr>
        <w:t>、薪酬福利待遇</w:t>
      </w:r>
    </w:p>
    <w:p>
      <w:pPr>
        <w:pStyle w:val="5"/>
        <w:shd w:val="clear" w:color="auto" w:fill="FFFFFF"/>
        <w:spacing w:before="0" w:beforeAutospacing="0" w:after="0" w:afterAutospacing="0" w:line="360" w:lineRule="auto"/>
        <w:ind w:left="74" w:right="74" w:firstLine="480"/>
        <w:rPr>
          <w:rFonts w:hint="eastAsia" w:ascii="Helvetica" w:hAnsi="Helvetica" w:cs="Helvetica"/>
          <w:color w:val="333333"/>
        </w:rPr>
      </w:pPr>
      <w:r>
        <w:rPr>
          <w:rFonts w:hint="eastAsia" w:ascii="Helvetica" w:hAnsi="Helvetica" w:cs="Helvetica"/>
          <w:color w:val="333333"/>
        </w:rPr>
        <w:t>1、员工薪酬组成情况</w:t>
      </w:r>
    </w:p>
    <w:p>
      <w:pPr>
        <w:pStyle w:val="5"/>
        <w:shd w:val="clear" w:color="auto" w:fill="FFFFFF"/>
        <w:spacing w:before="0" w:beforeAutospacing="0" w:after="0" w:afterAutospacing="0" w:line="360" w:lineRule="auto"/>
        <w:ind w:left="74" w:right="74" w:firstLine="480"/>
        <w:rPr>
          <w:rFonts w:hint="eastAsia" w:ascii="Helvetica" w:hAnsi="Helvetica" w:cs="Helvetica"/>
          <w:color w:val="333333"/>
          <w:lang w:eastAsia="zh-CN"/>
        </w:rPr>
      </w:pPr>
      <w:r>
        <w:rPr>
          <w:rFonts w:hint="eastAsia" w:ascii="Helvetica" w:hAnsi="Helvetica" w:cs="Helvetica"/>
          <w:color w:val="333333"/>
        </w:rPr>
        <w:t>员工薪酬构成主要包括岗位工资、绩效工资、加班工资等。</w:t>
      </w:r>
      <w:r>
        <w:rPr>
          <w:rFonts w:hint="eastAsia" w:ascii="Helvetica" w:hAnsi="Helvetica" w:cs="Helvetica"/>
          <w:color w:val="333333"/>
          <w:lang w:eastAsia="zh-CN"/>
        </w:rPr>
        <w:t>员工月均综合收入</w:t>
      </w:r>
      <w:r>
        <w:rPr>
          <w:rFonts w:hint="eastAsia" w:ascii="Helvetica" w:hAnsi="Helvetica" w:cs="Helvetica"/>
          <w:color w:val="333333"/>
          <w:lang w:val="en-US" w:eastAsia="zh-CN"/>
        </w:rPr>
        <w:t>4000-5000（夜班津贴15元/天；综合收入不含各类嘉奖；）</w:t>
      </w:r>
      <w:r>
        <w:rPr>
          <w:rFonts w:hint="eastAsia" w:ascii="Helvetica" w:hAnsi="Helvetica" w:cs="Helvetica"/>
          <w:color w:val="333333"/>
          <w:lang w:eastAsia="zh-CN"/>
        </w:rPr>
        <w:t>：</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2、员工福利组成情况</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w:t>
      </w:r>
      <w:r>
        <w:rPr>
          <w:rFonts w:hint="eastAsia" w:ascii="Helvetica" w:hAnsi="Helvetica" w:cs="Helvetica"/>
          <w:color w:val="333333"/>
          <w:lang w:val="en-US" w:eastAsia="zh-CN"/>
        </w:rPr>
        <w:t>1</w:t>
      </w:r>
      <w:r>
        <w:rPr>
          <w:rFonts w:hint="eastAsia" w:ascii="Helvetica" w:hAnsi="Helvetica" w:cs="Helvetica"/>
          <w:color w:val="333333"/>
        </w:rPr>
        <w:t>）提供免费工作餐（加班时间超过</w:t>
      </w:r>
      <w:r>
        <w:rPr>
          <w:rFonts w:hint="eastAsia" w:ascii="Helvetica" w:hAnsi="Helvetica" w:cs="Helvetica"/>
          <w:color w:val="333333"/>
          <w:lang w:val="en-US" w:eastAsia="zh-CN"/>
        </w:rPr>
        <w:t>8</w:t>
      </w:r>
      <w:r>
        <w:rPr>
          <w:rFonts w:hint="eastAsia" w:ascii="Helvetica" w:hAnsi="Helvetica" w:cs="Helvetica"/>
          <w:color w:val="333333"/>
        </w:rPr>
        <w:t>点，提供加班餐</w:t>
      </w:r>
      <w:r>
        <w:rPr>
          <w:rFonts w:hint="eastAsia" w:ascii="Helvetica" w:hAnsi="Helvetica" w:cs="Helvetica"/>
          <w:color w:val="333333"/>
          <w:lang w:eastAsia="zh-CN"/>
        </w:rPr>
        <w:t>、慰问餐</w:t>
      </w:r>
      <w:r>
        <w:rPr>
          <w:rFonts w:hint="eastAsia" w:ascii="Helvetica" w:hAnsi="Helvetica" w:cs="Helvetica"/>
          <w:color w:val="333333"/>
        </w:rPr>
        <w:t>）、劳保用品等；</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w:t>
      </w:r>
      <w:r>
        <w:rPr>
          <w:rFonts w:hint="eastAsia" w:ascii="Helvetica" w:hAnsi="Helvetica" w:cs="Helvetica"/>
          <w:color w:val="333333"/>
          <w:lang w:val="en-US" w:eastAsia="zh-CN"/>
        </w:rPr>
        <w:t>2</w:t>
      </w:r>
      <w:r>
        <w:rPr>
          <w:rFonts w:hint="eastAsia" w:ascii="Helvetica" w:hAnsi="Helvetica" w:cs="Helvetica"/>
          <w:color w:val="333333"/>
        </w:rPr>
        <w:t>）提供员工宿舍，水电气费平摊；</w:t>
      </w:r>
    </w:p>
    <w:p>
      <w:pPr>
        <w:pStyle w:val="5"/>
        <w:shd w:val="clear" w:color="auto" w:fill="FFFFFF"/>
        <w:spacing w:before="0" w:beforeAutospacing="0" w:after="0" w:afterAutospacing="0" w:line="360" w:lineRule="auto"/>
        <w:ind w:left="74" w:right="74" w:firstLine="480"/>
        <w:rPr>
          <w:rFonts w:ascii="Helvetica" w:hAnsi="Helvetica" w:cs="Helvetica"/>
          <w:color w:val="333333"/>
        </w:rPr>
      </w:pPr>
      <w:r>
        <w:rPr>
          <w:rFonts w:hint="eastAsia" w:ascii="Helvetica" w:hAnsi="Helvetica" w:cs="Helvetica"/>
          <w:color w:val="333333"/>
        </w:rPr>
        <w:t>（</w:t>
      </w:r>
      <w:r>
        <w:rPr>
          <w:rFonts w:hint="eastAsia" w:ascii="Helvetica" w:hAnsi="Helvetica" w:cs="Helvetica"/>
          <w:color w:val="333333"/>
          <w:lang w:val="en-US" w:eastAsia="zh-CN"/>
        </w:rPr>
        <w:t>3</w:t>
      </w:r>
      <w:r>
        <w:rPr>
          <w:rFonts w:hint="eastAsia" w:ascii="Helvetica" w:hAnsi="Helvetica" w:cs="Helvetica"/>
          <w:color w:val="333333"/>
        </w:rPr>
        <w:t>）交通车免费接送上下班；</w:t>
      </w:r>
    </w:p>
    <w:p>
      <w:pPr>
        <w:pStyle w:val="5"/>
        <w:shd w:val="clear" w:color="auto" w:fill="FFFFFF"/>
        <w:spacing w:before="0" w:beforeAutospacing="0" w:after="0" w:afterAutospacing="0" w:line="360" w:lineRule="auto"/>
        <w:ind w:left="74" w:right="74" w:firstLine="480"/>
        <w:rPr>
          <w:rFonts w:hint="eastAsia" w:ascii="Helvetica" w:hAnsi="Helvetica" w:eastAsia="宋体" w:cs="Helvetica"/>
          <w:color w:val="333333"/>
          <w:lang w:eastAsia="zh-CN"/>
        </w:rPr>
      </w:pPr>
      <w:r>
        <w:rPr>
          <w:rFonts w:hint="eastAsia" w:ascii="Helvetica" w:hAnsi="Helvetica" w:eastAsia="宋体" w:cs="Helvetica"/>
          <w:color w:val="333333"/>
          <w:lang w:eastAsia="zh-CN"/>
        </w:rPr>
        <w:object>
          <v:shape id="_x0000_i1025" o:spt="75" type="#_x0000_t75" style="height:65.4pt;width:72.6pt;" o:ole="t" filled="f" o:preferrelative="t" stroked="f" coordsize="21600,21600">
            <v:path/>
            <v:fill on="f" focussize="0,0"/>
            <v:stroke on="f"/>
            <v:imagedata r:id="rId17" o:title=""/>
            <o:lock v:ext="edit" aspectratio="t"/>
            <w10:wrap type="none"/>
            <w10:anchorlock/>
          </v:shape>
          <o:OLEObject Type="Embed" ProgID="Excel.Sheet.12" ShapeID="_x0000_i1025" DrawAspect="Icon" ObjectID="_1468075725" r:id="rId16">
            <o:LockedField>false</o:LockedField>
          </o:OLEObject>
        </w:object>
      </w:r>
    </w:p>
    <w:p>
      <w:pPr>
        <w:pStyle w:val="5"/>
        <w:numPr>
          <w:ilvl w:val="0"/>
          <w:numId w:val="2"/>
        </w:numPr>
        <w:shd w:val="clear" w:color="auto" w:fill="FFFFFF"/>
        <w:spacing w:before="0" w:beforeAutospacing="0" w:after="0" w:afterAutospacing="0" w:line="360" w:lineRule="auto"/>
        <w:ind w:left="74" w:right="74" w:firstLine="480"/>
        <w:rPr>
          <w:rFonts w:hint="eastAsia" w:ascii="Helvetica" w:hAnsi="Helvetica" w:cs="Helvetica"/>
          <w:color w:val="333333"/>
          <w:lang w:eastAsia="zh-CN"/>
        </w:rPr>
      </w:pPr>
      <w:r>
        <w:rPr>
          <w:rFonts w:hint="eastAsia" w:ascii="Helvetica" w:hAnsi="Helvetica" w:cs="Helvetica"/>
          <w:color w:val="333333"/>
          <w:lang w:eastAsia="zh-CN"/>
        </w:rPr>
        <w:t>特别优秀者可以转成长安民生正式员工。</w:t>
      </w:r>
    </w:p>
    <w:p>
      <w:pPr>
        <w:pStyle w:val="5"/>
        <w:numPr>
          <w:ilvl w:val="0"/>
          <w:numId w:val="0"/>
        </w:numPr>
        <w:shd w:val="clear" w:color="auto" w:fill="FFFFFF"/>
        <w:spacing w:before="75" w:after="75" w:line="360" w:lineRule="auto"/>
        <w:ind w:leftChars="0" w:right="75" w:rightChars="0"/>
        <w:rPr>
          <w:rFonts w:hint="eastAsia" w:ascii="Helvetica" w:hAnsi="Helvetica" w:cs="Helvetica"/>
          <w:b/>
          <w:color w:val="333333"/>
          <w:lang w:eastAsia="zh-CN"/>
        </w:rPr>
      </w:pPr>
      <w:r>
        <w:rPr>
          <w:rFonts w:hint="eastAsia" w:ascii="Helvetica" w:hAnsi="Helvetica" w:cs="Helvetica"/>
          <w:b/>
          <w:color w:val="333333"/>
          <w:lang w:eastAsia="zh-CN"/>
        </w:rPr>
        <w:t>四、</w:t>
      </w:r>
      <w:r>
        <w:rPr>
          <w:rFonts w:hint="eastAsia" w:ascii="Helvetica" w:hAnsi="Helvetica" w:cs="Helvetica"/>
          <w:b/>
          <w:color w:val="333333"/>
        </w:rPr>
        <w:t>招聘岗位与</w:t>
      </w:r>
      <w:r>
        <w:rPr>
          <w:rFonts w:hint="eastAsia" w:ascii="Helvetica" w:hAnsi="Helvetica" w:cs="Helvetica"/>
          <w:b/>
          <w:color w:val="333333"/>
          <w:lang w:eastAsia="zh-CN"/>
        </w:rPr>
        <w:t>基本要求</w:t>
      </w:r>
    </w:p>
    <w:p>
      <w:pPr>
        <w:pStyle w:val="5"/>
        <w:numPr>
          <w:ilvl w:val="0"/>
          <w:numId w:val="3"/>
        </w:numPr>
        <w:shd w:val="clear" w:color="auto" w:fill="FFFFFF"/>
        <w:spacing w:before="0" w:beforeAutospacing="0" w:after="0" w:afterAutospacing="0" w:line="360" w:lineRule="auto"/>
        <w:ind w:leftChars="200" w:right="74" w:rightChars="0"/>
        <w:rPr>
          <w:rFonts w:hint="eastAsia" w:ascii="Helvetica" w:hAnsi="Helvetica" w:cs="Helvetica"/>
          <w:color w:val="333333"/>
          <w:lang w:val="en-US" w:eastAsia="zh-CN"/>
        </w:rPr>
      </w:pPr>
      <w:r>
        <w:rPr>
          <w:rFonts w:hint="eastAsia" w:ascii="Helvetica" w:hAnsi="Helvetica" w:cs="Helvetica"/>
          <w:color w:val="333333"/>
          <w:lang w:val="en-US" w:eastAsia="zh-CN"/>
        </w:rPr>
        <w:t>招聘岗位：库管 叉车工</w:t>
      </w:r>
    </w:p>
    <w:p>
      <w:pPr>
        <w:pStyle w:val="5"/>
        <w:numPr>
          <w:ilvl w:val="0"/>
          <w:numId w:val="3"/>
        </w:numPr>
        <w:shd w:val="clear" w:color="auto" w:fill="FFFFFF"/>
        <w:spacing w:before="0" w:beforeAutospacing="0" w:after="0" w:afterAutospacing="0" w:line="360" w:lineRule="auto"/>
        <w:ind w:left="420" w:leftChars="200" w:right="74" w:rightChars="0" w:firstLine="480" w:firstLineChars="200"/>
        <w:rPr>
          <w:rFonts w:hint="eastAsia" w:ascii="Helvetica" w:hAnsi="Helvetica" w:cs="Helvetica"/>
          <w:color w:val="333333"/>
          <w:lang w:val="en-US" w:eastAsia="zh-CN"/>
        </w:rPr>
      </w:pPr>
      <w:r>
        <w:rPr>
          <w:rFonts w:hint="eastAsia" w:ascii="Helvetica" w:hAnsi="Helvetica" w:cs="Helvetica"/>
          <w:color w:val="333333"/>
          <w:lang w:val="en-US" w:eastAsia="zh-CN"/>
        </w:rPr>
        <w:t>岗位要求：能接受夜班、身体健康，踏实勤奋，吃苦耐劳，听从工作安排</w:t>
      </w:r>
    </w:p>
    <w:p>
      <w:pPr>
        <w:pStyle w:val="5"/>
        <w:numPr>
          <w:ilvl w:val="0"/>
          <w:numId w:val="0"/>
        </w:numPr>
        <w:shd w:val="clear" w:color="auto" w:fill="FFFFFF"/>
        <w:spacing w:before="0" w:beforeAutospacing="0" w:after="0" w:afterAutospacing="0" w:line="360" w:lineRule="auto"/>
        <w:ind w:left="0" w:leftChars="0" w:right="74" w:rightChars="0" w:firstLine="0" w:firstLineChars="0"/>
        <w:rPr>
          <w:rFonts w:hint="default" w:ascii="Helvetica" w:hAnsi="Helvetica" w:cs="Helvetica"/>
          <w:color w:val="333333"/>
          <w:lang w:val="en-US" w:eastAsia="zh-CN"/>
        </w:rPr>
      </w:pPr>
    </w:p>
    <w:p>
      <w:pPr>
        <w:pStyle w:val="5"/>
        <w:numPr>
          <w:ilvl w:val="0"/>
          <w:numId w:val="3"/>
        </w:numPr>
        <w:shd w:val="clear" w:color="auto" w:fill="FFFFFF"/>
        <w:spacing w:before="0" w:beforeAutospacing="0" w:after="0" w:afterAutospacing="0" w:line="360" w:lineRule="auto"/>
        <w:ind w:left="420" w:leftChars="200" w:right="74" w:rightChars="0" w:firstLine="480" w:firstLineChars="200"/>
        <w:rPr>
          <w:rFonts w:hint="default" w:ascii="Helvetica" w:hAnsi="Helvetica" w:cs="Helvetica"/>
          <w:color w:val="333333"/>
          <w:lang w:val="en-US" w:eastAsia="zh-CN"/>
        </w:rPr>
      </w:pPr>
      <w:r>
        <w:rPr>
          <w:rFonts w:hint="eastAsia" w:ascii="Helvetica" w:hAnsi="Helvetica" w:cs="Helvetica"/>
          <w:color w:val="333333"/>
          <w:lang w:val="en-US" w:eastAsia="zh-CN"/>
        </w:rPr>
        <w:t>工作地点：重庆鱼嘴两江工厂</w:t>
      </w:r>
    </w:p>
    <w:p>
      <w:pPr>
        <w:pStyle w:val="5"/>
        <w:numPr>
          <w:ilvl w:val="0"/>
          <w:numId w:val="3"/>
        </w:numPr>
        <w:shd w:val="clear" w:color="auto" w:fill="FFFFFF"/>
        <w:spacing w:before="0" w:beforeAutospacing="0" w:after="0" w:afterAutospacing="0" w:line="360" w:lineRule="auto"/>
        <w:ind w:left="420" w:leftChars="200" w:right="74" w:rightChars="0" w:firstLine="480" w:firstLineChars="200"/>
        <w:rPr>
          <w:rFonts w:hint="eastAsia" w:ascii="Helvetica" w:hAnsi="Helvetica" w:cs="Helvetica"/>
          <w:color w:val="333333"/>
          <w:lang w:val="en-US" w:eastAsia="zh-CN"/>
        </w:rPr>
      </w:pPr>
      <w:r>
        <w:rPr>
          <w:rFonts w:hint="eastAsia" w:ascii="Helvetica" w:hAnsi="Helvetica" w:cs="Helvetica"/>
          <w:color w:val="333333"/>
          <w:lang w:val="en-US" w:eastAsia="zh-CN"/>
        </w:rPr>
        <w:t>工作时间：白班:08:00—19:00；夜班:20:00—06:00</w:t>
      </w:r>
    </w:p>
    <w:p>
      <w:pPr>
        <w:pStyle w:val="5"/>
        <w:numPr>
          <w:ilvl w:val="0"/>
          <w:numId w:val="3"/>
        </w:numPr>
        <w:shd w:val="clear" w:color="auto" w:fill="FFFFFF"/>
        <w:spacing w:before="0" w:beforeAutospacing="0" w:after="0" w:afterAutospacing="0" w:line="360" w:lineRule="auto"/>
        <w:ind w:left="420" w:leftChars="200" w:right="74" w:rightChars="0" w:firstLine="480" w:firstLineChars="200"/>
        <w:rPr>
          <w:rFonts w:hint="eastAsia" w:ascii="Helvetica" w:hAnsi="Helvetica" w:cs="Helvetica"/>
          <w:color w:val="333333"/>
          <w:lang w:val="en-US" w:eastAsia="zh-CN"/>
        </w:rPr>
      </w:pPr>
      <w:r>
        <w:rPr>
          <w:rFonts w:hint="eastAsia" w:ascii="Helvetica" w:hAnsi="Helvetica" w:cs="Helvetica"/>
          <w:color w:val="333333"/>
          <w:lang w:val="en-US" w:eastAsia="zh-CN"/>
        </w:rPr>
        <w:t>年龄：16至55周岁</w:t>
      </w:r>
      <w:bookmarkStart w:id="0" w:name="_GoBack"/>
      <w:bookmarkEnd w:id="0"/>
    </w:p>
    <w:p>
      <w:pPr>
        <w:pStyle w:val="5"/>
        <w:numPr>
          <w:ilvl w:val="0"/>
          <w:numId w:val="0"/>
        </w:numPr>
        <w:shd w:val="clear" w:color="auto" w:fill="FFFFFF"/>
        <w:spacing w:before="75" w:after="75" w:line="360" w:lineRule="auto"/>
        <w:ind w:leftChars="0" w:right="75" w:rightChars="0"/>
        <w:rPr>
          <w:rFonts w:hint="eastAsia" w:ascii="Helvetica" w:hAnsi="Helvetica" w:cs="Helvetica"/>
          <w:b/>
          <w:color w:val="333333"/>
          <w:lang w:val="en-US" w:eastAsia="zh-CN"/>
        </w:rPr>
      </w:pPr>
      <w:r>
        <w:rPr>
          <w:rFonts w:hint="eastAsia" w:ascii="Helvetica" w:hAnsi="Helvetica" w:cs="Helvetica"/>
          <w:b/>
          <w:color w:val="333333"/>
          <w:lang w:val="en-US" w:eastAsia="zh-CN"/>
        </w:rPr>
        <w:t>五、入职流程：</w:t>
      </w:r>
    </w:p>
    <w:p>
      <w:pPr>
        <w:pStyle w:val="5"/>
        <w:numPr>
          <w:ilvl w:val="0"/>
          <w:numId w:val="4"/>
        </w:numPr>
        <w:shd w:val="clear" w:color="auto" w:fill="FFFFFF"/>
        <w:spacing w:before="0" w:beforeAutospacing="0" w:after="0" w:afterAutospacing="0" w:line="360" w:lineRule="auto"/>
        <w:ind w:right="74" w:rightChars="0"/>
        <w:rPr>
          <w:rFonts w:hint="default" w:ascii="Helvetica" w:hAnsi="Helvetica" w:cs="Helvetica"/>
          <w:color w:val="333333"/>
          <w:lang w:val="en-US" w:eastAsia="zh-CN"/>
        </w:rPr>
      </w:pPr>
      <w:r>
        <w:rPr>
          <w:rFonts w:hint="eastAsia" w:ascii="Helvetica" w:hAnsi="Helvetica" w:cs="Helvetica"/>
          <w:color w:val="333333"/>
          <w:lang w:val="en-US" w:eastAsia="zh-CN"/>
        </w:rPr>
        <w:t>面试：现场面试，面试合格后通知进行体检；</w:t>
      </w:r>
    </w:p>
    <w:p>
      <w:pPr>
        <w:pStyle w:val="5"/>
        <w:numPr>
          <w:ilvl w:val="0"/>
          <w:numId w:val="4"/>
        </w:numPr>
        <w:shd w:val="clear" w:color="auto" w:fill="FFFFFF"/>
        <w:spacing w:before="0" w:beforeAutospacing="0" w:after="0" w:afterAutospacing="0" w:line="360" w:lineRule="auto"/>
        <w:ind w:right="74" w:rightChars="0"/>
        <w:rPr>
          <w:rFonts w:hint="default" w:ascii="Helvetica" w:hAnsi="Helvetica" w:cs="Helvetica"/>
          <w:color w:val="333333"/>
          <w:lang w:val="en-US" w:eastAsia="zh-CN"/>
        </w:rPr>
      </w:pPr>
      <w:r>
        <w:rPr>
          <w:rFonts w:hint="eastAsia" w:ascii="Helvetica" w:hAnsi="Helvetica" w:cs="Helvetica"/>
          <w:color w:val="333333"/>
          <w:lang w:val="en-US" w:eastAsia="zh-CN"/>
        </w:rPr>
        <w:t>入职体检：二级以上医院，体检项目包括：眼科检查、身高、体重、血压、一般内科、胸透、心电图、尿检、肝功能两项、五分类（血常规）；</w:t>
      </w:r>
    </w:p>
    <w:p>
      <w:pPr>
        <w:pStyle w:val="5"/>
        <w:numPr>
          <w:ilvl w:val="0"/>
          <w:numId w:val="4"/>
        </w:numPr>
        <w:shd w:val="clear" w:color="auto" w:fill="FFFFFF"/>
        <w:spacing w:before="0" w:beforeAutospacing="0" w:after="0" w:afterAutospacing="0" w:line="360" w:lineRule="auto"/>
        <w:ind w:right="74" w:rightChars="0"/>
        <w:rPr>
          <w:rFonts w:hint="default" w:ascii="Helvetica" w:hAnsi="Helvetica" w:cs="Helvetica"/>
          <w:color w:val="333333"/>
          <w:lang w:val="en-US" w:eastAsia="zh-CN"/>
        </w:rPr>
      </w:pPr>
      <w:r>
        <w:rPr>
          <w:rFonts w:hint="eastAsia" w:ascii="Helvetica" w:hAnsi="Helvetica" w:cs="Helvetica"/>
          <w:color w:val="333333"/>
          <w:lang w:val="en-US" w:eastAsia="zh-CN"/>
        </w:rPr>
        <w:t>入职准备：</w:t>
      </w:r>
    </w:p>
    <w:p>
      <w:pPr>
        <w:pStyle w:val="5"/>
        <w:numPr>
          <w:ilvl w:val="0"/>
          <w:numId w:val="0"/>
        </w:numPr>
        <w:shd w:val="clear" w:color="auto" w:fill="FFFFFF"/>
        <w:spacing w:before="0" w:beforeAutospacing="0" w:after="0" w:afterAutospacing="0" w:line="360" w:lineRule="auto"/>
        <w:ind w:right="74" w:rightChars="0" w:firstLine="1200" w:firstLineChars="500"/>
        <w:rPr>
          <w:rFonts w:hint="default" w:ascii="Helvetica" w:hAnsi="Helvetica" w:cs="Helvetica"/>
          <w:color w:val="333333"/>
          <w:lang w:val="en-US" w:eastAsia="zh-CN"/>
        </w:rPr>
      </w:pPr>
      <w:r>
        <w:rPr>
          <w:rFonts w:hint="eastAsia" w:ascii="Helvetica" w:hAnsi="Helvetica" w:cs="Helvetica"/>
          <w:color w:val="333333"/>
          <w:lang w:val="en-US" w:eastAsia="zh-CN"/>
        </w:rPr>
        <w:t>资料准备：需准备身份证复印件3张、一寸照片4张、本人农业银行卡复印件一张，体检报告；</w:t>
      </w:r>
    </w:p>
    <w:p>
      <w:pPr>
        <w:pStyle w:val="5"/>
        <w:numPr>
          <w:ilvl w:val="0"/>
          <w:numId w:val="0"/>
        </w:numPr>
        <w:shd w:val="clear" w:color="auto" w:fill="FFFFFF"/>
        <w:spacing w:before="0" w:beforeAutospacing="0" w:after="0" w:afterAutospacing="0" w:line="360" w:lineRule="auto"/>
        <w:ind w:right="74" w:rightChars="0" w:firstLine="720" w:firstLineChars="300"/>
        <w:rPr>
          <w:rFonts w:hint="eastAsia" w:ascii="Helvetica" w:hAnsi="Helvetica" w:cs="Helvetica"/>
          <w:color w:val="FF0000"/>
          <w:highlight w:val="none"/>
          <w:lang w:val="en-US" w:eastAsia="zh-CN"/>
        </w:rPr>
      </w:pPr>
      <w:r>
        <w:rPr>
          <w:rFonts w:hint="eastAsia" w:ascii="Helvetica" w:hAnsi="Helvetica" w:cs="Helvetica"/>
          <w:color w:val="FF0000"/>
          <w:highlight w:val="none"/>
          <w:lang w:val="en-US" w:eastAsia="zh-CN"/>
        </w:rPr>
        <w:t>注：疫情管控期间还需提供健康码，行程码截图</w:t>
      </w:r>
    </w:p>
    <w:p>
      <w:pPr>
        <w:pStyle w:val="5"/>
        <w:numPr>
          <w:ilvl w:val="0"/>
          <w:numId w:val="4"/>
        </w:numPr>
        <w:shd w:val="clear" w:color="auto" w:fill="FFFFFF"/>
        <w:spacing w:before="0" w:beforeAutospacing="0" w:after="0" w:afterAutospacing="0" w:line="360" w:lineRule="auto"/>
        <w:ind w:left="0" w:leftChars="0" w:right="74" w:rightChars="0" w:firstLine="480" w:firstLineChars="200"/>
        <w:rPr>
          <w:rFonts w:hint="eastAsia" w:ascii="Helvetica" w:hAnsi="Helvetica" w:cs="Helvetica"/>
          <w:color w:val="000000" w:themeColor="text1"/>
          <w:highlight w:val="none"/>
          <w:lang w:val="en-US" w:eastAsia="zh-CN"/>
          <w14:textFill>
            <w14:solidFill>
              <w14:schemeClr w14:val="tx1"/>
            </w14:solidFill>
          </w14:textFill>
        </w:rPr>
      </w:pPr>
      <w:r>
        <w:rPr>
          <w:rFonts w:hint="eastAsia" w:ascii="Helvetica" w:hAnsi="Helvetica" w:cs="Helvetica"/>
          <w:color w:val="000000" w:themeColor="text1"/>
          <w:highlight w:val="none"/>
          <w:lang w:val="en-US" w:eastAsia="zh-CN"/>
          <w14:textFill>
            <w14:solidFill>
              <w14:schemeClr w14:val="tx1"/>
            </w14:solidFill>
          </w14:textFill>
        </w:rPr>
        <w:t>实习协议签订：</w:t>
      </w:r>
    </w:p>
    <w:p>
      <w:pPr>
        <w:pStyle w:val="5"/>
        <w:numPr>
          <w:ilvl w:val="0"/>
          <w:numId w:val="0"/>
        </w:numPr>
        <w:shd w:val="clear" w:color="auto" w:fill="FFFFFF"/>
        <w:spacing w:before="0" w:beforeAutospacing="0" w:after="0" w:afterAutospacing="0" w:line="360" w:lineRule="auto"/>
        <w:ind w:right="75" w:rightChars="0" w:firstLine="480" w:firstLineChars="200"/>
        <w:rPr>
          <w:rFonts w:hint="eastAsia" w:ascii="Helvetica" w:hAnsi="Helvetica" w:cs="Helvetica"/>
          <w:color w:val="333333"/>
          <w:lang w:val="en-US" w:eastAsia="zh-CN"/>
        </w:rPr>
      </w:pPr>
      <w:r>
        <w:rPr>
          <w:rFonts w:hint="eastAsia" w:ascii="Helvetica" w:hAnsi="Helvetica" w:cs="Helvetica"/>
          <w:color w:val="000000" w:themeColor="text1"/>
          <w:highlight w:val="none"/>
          <w:lang w:val="en-US" w:eastAsia="zh-CN"/>
          <w14:textFill>
            <w14:solidFill>
              <w14:schemeClr w14:val="tx1"/>
            </w14:solidFill>
          </w14:textFill>
        </w:rPr>
        <w:t>（五）住宿安排：</w:t>
      </w:r>
      <w:r>
        <w:rPr>
          <w:rFonts w:hint="eastAsia" w:ascii="Helvetica" w:hAnsi="Helvetica" w:cs="Helvetica"/>
          <w:color w:val="333333"/>
          <w:lang w:val="en-US" w:eastAsia="zh-CN"/>
        </w:rPr>
        <w:t>公司为入职者办理宿舍入住手续</w:t>
      </w:r>
    </w:p>
    <w:p>
      <w:pPr>
        <w:pStyle w:val="5"/>
        <w:numPr>
          <w:ilvl w:val="0"/>
          <w:numId w:val="0"/>
        </w:numPr>
        <w:shd w:val="clear" w:color="auto" w:fill="FFFFFF"/>
        <w:spacing w:before="0" w:beforeAutospacing="0" w:after="0" w:afterAutospacing="0" w:line="360" w:lineRule="auto"/>
        <w:ind w:right="75" w:rightChars="0" w:firstLine="720" w:firstLineChars="300"/>
        <w:rPr>
          <w:rFonts w:hint="default" w:ascii="Helvetica" w:hAnsi="Helvetica" w:cs="Helvetica"/>
          <w:color w:val="333333"/>
          <w:lang w:val="en-US" w:eastAsia="zh-CN"/>
        </w:rPr>
      </w:pPr>
      <w:r>
        <w:rPr>
          <w:rFonts w:hint="eastAsia" w:ascii="Helvetica" w:hAnsi="Helvetica" w:cs="Helvetica"/>
          <w:color w:val="FF0000"/>
          <w:lang w:val="en-US" w:eastAsia="zh-CN"/>
        </w:rPr>
        <w:t>注：宿舍设施：床、空调、热水器、桌椅、厨房灶具；无床上用品，入职者需要自备床上用品</w:t>
      </w:r>
    </w:p>
    <w:p>
      <w:pPr>
        <w:spacing w:line="360" w:lineRule="auto"/>
        <w:ind w:firstLine="0" w:firstLineChars="0"/>
        <w:rPr>
          <w:rFonts w:hint="eastAsia"/>
          <w:b/>
          <w:sz w:val="24"/>
        </w:rPr>
      </w:pPr>
      <w:r>
        <w:rPr>
          <w:rFonts w:hint="eastAsia"/>
          <w:b/>
          <w:sz w:val="24"/>
          <w:lang w:eastAsia="zh-CN"/>
        </w:rPr>
        <w:t>六、</w:t>
      </w:r>
      <w:r>
        <w:rPr>
          <w:rFonts w:hint="eastAsia"/>
          <w:b/>
          <w:sz w:val="24"/>
        </w:rPr>
        <w:t>联系方式</w:t>
      </w:r>
    </w:p>
    <w:p>
      <w:pPr>
        <w:spacing w:line="360" w:lineRule="auto"/>
        <w:ind w:firstLine="0" w:firstLineChars="0"/>
        <w:rPr>
          <w:rFonts w:hint="eastAsia"/>
          <w:b/>
          <w:sz w:val="24"/>
        </w:rPr>
      </w:pPr>
      <w:r>
        <w:rPr>
          <w:rFonts w:hint="eastAsia"/>
        </w:rPr>
        <w:t>姚老师</w:t>
      </w:r>
      <w:r>
        <w:rPr>
          <w:rFonts w:hint="eastAsia"/>
          <w:lang w:eastAsia="zh-CN"/>
        </w:rPr>
        <w:t>：</w:t>
      </w:r>
      <w:r>
        <w:rPr>
          <w:rFonts w:hint="eastAsia"/>
        </w:rPr>
        <w:t>173 8316 8089</w:t>
      </w:r>
    </w:p>
    <w:sectPr>
      <w:headerReference r:id="rId5" w:type="first"/>
      <w:headerReference r:id="rId3" w:type="default"/>
      <w:footerReference r:id="rId6" w:type="default"/>
      <w:headerReference r:id="rId4" w:type="even"/>
      <w:footerReference r:id="rId7" w:type="even"/>
      <w:pgSz w:w="11906" w:h="16838"/>
      <w:pgMar w:top="1304" w:right="1020" w:bottom="1247" w:left="1020" w:header="284" w:footer="79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Helvetica">
    <w:panose1 w:val="020B05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0" w:leftChars="0" w:firstLine="0" w:firstLineChars="0"/>
      <w:rPr>
        <w:rFonts w:ascii="微软雅黑" w:hAnsi="微软雅黑" w:eastAsia="微软雅黑" w:cs="微软雅黑"/>
        <w:b/>
        <w:bCs/>
        <w:color w:val="0070C0"/>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A03A7D"/>
    <w:multiLevelType w:val="singleLevel"/>
    <w:tmpl w:val="D9A03A7D"/>
    <w:lvl w:ilvl="0" w:tentative="0">
      <w:start w:val="1"/>
      <w:numFmt w:val="chineseCounting"/>
      <w:suff w:val="nothing"/>
      <w:lvlText w:val="（%1）"/>
      <w:lvlJc w:val="left"/>
      <w:rPr>
        <w:rFonts w:hint="eastAsia"/>
      </w:rPr>
    </w:lvl>
  </w:abstractNum>
  <w:abstractNum w:abstractNumId="1">
    <w:nsid w:val="EB7500FE"/>
    <w:multiLevelType w:val="singleLevel"/>
    <w:tmpl w:val="EB7500FE"/>
    <w:lvl w:ilvl="0" w:tentative="0">
      <w:start w:val="4"/>
      <w:numFmt w:val="decimal"/>
      <w:suff w:val="nothing"/>
      <w:lvlText w:val="（%1）"/>
      <w:lvlJc w:val="left"/>
    </w:lvl>
  </w:abstractNum>
  <w:abstractNum w:abstractNumId="2">
    <w:nsid w:val="0053208E"/>
    <w:multiLevelType w:val="singleLevel"/>
    <w:tmpl w:val="0053208E"/>
    <w:lvl w:ilvl="0" w:tentative="0">
      <w:start w:val="2"/>
      <w:numFmt w:val="chineseCounting"/>
      <w:suff w:val="nothing"/>
      <w:lvlText w:val="%1、"/>
      <w:lvlJc w:val="left"/>
      <w:rPr>
        <w:rFonts w:hint="eastAsia"/>
      </w:rPr>
    </w:lvl>
  </w:abstractNum>
  <w:abstractNum w:abstractNumId="3">
    <w:nsid w:val="6CA0A03E"/>
    <w:multiLevelType w:val="singleLevel"/>
    <w:tmpl w:val="6CA0A03E"/>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Calibri" w:hAnsi="Calibri"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脚 Char"/>
    <w:basedOn w:val="6"/>
    <w:link w:val="3"/>
    <w:qFormat/>
    <w:uiPriority w:val="99"/>
    <w:rPr>
      <w:kern w:val="2"/>
      <w:sz w:val="18"/>
      <w:szCs w:val="24"/>
    </w:rPr>
  </w:style>
  <w:style w:type="character" w:customStyle="1" w:styleId="11">
    <w:name w:val="批注框文本 Char"/>
    <w:basedOn w:val="6"/>
    <w:link w:val="2"/>
    <w:qFormat/>
    <w:uiPriority w:val="0"/>
    <w:rPr>
      <w:kern w:val="2"/>
      <w:sz w:val="18"/>
      <w:szCs w:val="18"/>
    </w:rPr>
  </w:style>
  <w:style w:type="character" w:customStyle="1" w:styleId="12">
    <w:name w:val="未处理的提及1"/>
    <w:basedOn w:val="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6</Pages>
  <Words>394</Words>
  <Characters>2250</Characters>
  <Lines>18</Lines>
  <Paragraphs>5</Paragraphs>
  <ScaleCrop>false</ScaleCrop>
  <LinksUpToDate>false</LinksUpToDate>
  <CharactersWithSpaces>2639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2020-01-06T09:41:00Z</dcterms:created>
  <dc:creator>Administrator</dc:creator>
  <cp:lastModifiedBy>X</cp:lastModifiedBy>
  <cp:lastPrinted>2017-10-26T01:59:00Z</cp:lastPrinted>
  <dcterms:modified xsi:type="dcterms:W3CDTF">2021-10-03T17:41:43Z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2052-11.15.0</vt:lpwstr>
  </property>
  <property fmtid="{D5CDD505-2E9C-101B-9397-08002B2CF9AE}" pid="3" name="ICV">
    <vt:lpwstr>4DE1750EA9D742DC94A620668B111A48</vt:lpwstr>
  </property>
</Properties>
</file>